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Powell)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Education;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10, Nays 0;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providing for endorsements for public high school students enrolled in special education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28.025, Education Code, is amended by adding Subsections (c-7) and (c-8)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(c-8), a student who is enrolled in a special education program under Subchapter A, Chapter 29, may earn an endorsement on the student's transcript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successfully completing, with or without modification of the curriculum: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curriculum requirements identified by the State Board of Education under Subsection (a);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additional endorsement curriculum requirements prescribed by the State Board of Education under Subsection (c-2);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successfully completing all curriculum requirements for that endorsement adopted by the State Board of Education: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without modification of the curriculum;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modification of the curriculum, provided that the curriculum, as modified, is sufficiently rigorous as determined by the student's admission, review, and dismissal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(c-7), the admission, review, and dismissal committee of a student in a special education program under Subchapter A, Chapter 29, shall determine whether the student is required to achieve satisfactory performance on an end-of-course assessment instrument to earn an endorsement on the student's transcript.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