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86R1065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H.B.</w:t>
      </w:r>
      <w:r xml:space="preserve">
        <w:t> </w:t>
      </w:r>
      <w:r>
        <w:t xml:space="preserve">No.</w:t>
      </w:r>
      <w:r xml:space="preserve">
        <w:t> </w:t>
      </w:r>
      <w:r>
        <w:t xml:space="preserve">167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participation of certain students in University Interscholastic League sponsored activities.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33, Education Code, is amended by adding Section 33.0833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33.0833.</w:t>
      </w:r>
      <w:r>
        <w:rPr>
          <w:u w:val="single"/>
        </w:rPr>
        <w:t xml:space="preserve"> </w:t>
      </w:r>
      <w:r>
        <w:rPr>
          <w:u w:val="single"/>
        </w:rPr>
        <w:t xml:space="preserve"> </w:t>
      </w:r>
      <w:r>
        <w:rPr>
          <w:u w:val="single"/>
        </w:rPr>
        <w:t xml:space="preserve">ACCESS TO UNIVERSITY INTERSCHOLASTIC LEAGUE SPONSORED ACTIVITIES FOR STUDENTS UNDER SUPERVISION OF TEXAS JUVENILE JUSTICE DEPARTMENT.  (a) </w:t>
      </w:r>
      <w:r>
        <w:rPr>
          <w:u w:val="single"/>
        </w:rPr>
        <w:t xml:space="preserve"> </w:t>
      </w:r>
      <w:r>
        <w:rPr>
          <w:u w:val="single"/>
        </w:rPr>
        <w:t xml:space="preserve">The University Interscholastic League may provide students receiving educational services under the supervision of the Texas Juvenile Justice Department with the opportunity to participate in activities sponsored by the league in the same manner that the league provides the opportunity to participate to students enrolled in public schools. </w:t>
      </w:r>
      <w:r>
        <w:rPr>
          <w:u w:val="single"/>
        </w:rPr>
        <w:t xml:space="preserve"> </w:t>
      </w:r>
      <w:r>
        <w:rPr>
          <w:u w:val="single"/>
        </w:rPr>
        <w:t xml:space="preserve">Participation of a public school in an activity in which students receiving educational services under the supervision of the department participate is optional.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providing students described by Subsection (a) with the opportunity to participate in activities described by that subsection, the University Interscholastic League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into a memorandum of understanding with the Texas Juvenile Justice Department regarding the policies governing: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conditions of eligibility for students under the supervision of the department in activities sponsored by the league, including the: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ages of students eligible to participate;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academic performance requirements for students;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standards of behavior for students;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appropriate league in which students under the supervision of the department will participate;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duties of the department regarding other policies of the league, including fees, insurance, and transportation;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adopt rules and administrative guidelines to implement this section, including procedures allowing for the optional participation of public schools in the activities provided to students under the supervision of the department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