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86R1063 MTB-D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Canales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the creation of bilingual zones in certain areas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In this Act, "bilingual zone" means a designated area of this state in which: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English and Spanish are both official languages;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residents have the right to receive services from state and local governmental entities in both official languages;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residents may be heard before the state court system in the official language of their choice;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state and local laws are published in both official languages and given equal legal weight;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both official languages have equal status in state and local governmental employment.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comptroller of public accounts, in cooperation with the secretary of state, the B3 Institute at The University of Texas Rio Grande Valley, and other interested parties, shall conduct a study to evaluate the creation of bilingual zones in certain areas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comptroller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identify and evaluate areas of this state along the border with the United Mexican States that may be designated bilingual zones;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assess the impact the creation and operation of bilingual zones would have on this state's economy;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evaluate the effect the creation and operation of bilingual zones would have on border and international relations.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September 1, 2020, the comptroller of public accounts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Act expires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