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86R1061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admissibility of evidence in an asset forfeiture proceeding and the seizure and forfeiture of certain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59.02, Code of Criminal Procedure,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Subsection (a-1), property</w:t>
      </w:r>
      <w:r>
        <w:t xml:space="preserve"> [</w:t>
      </w:r>
      <w:r>
        <w:rPr>
          <w:strike/>
        </w:rPr>
        <w:t xml:space="preserve">Property</w:t>
      </w:r>
      <w:r>
        <w:t xml:space="preserve">] that is contraband is subject to seizure and forfeiture under this chapter.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Property that is contraband is not subject to seizure and forfeiture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is not otherwise unlawful to possess;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admissibility of the property as evidence would be prohibited under Article 38.23 in the prosecution of the underlying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59.05, Code of Criminal Procedure,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 forfeiture proceeding under this chapter, the attorney representing the state may only present evidence the admissibility of which would not be prohibited under Article 38.23 in the prosecution of the underlying offense giving rise to the forfeiture.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forfeiture proceeding that begins on or after the effective date of this Act.  A forfeiture proceeding that begins before the effective date of this Act is governed by the law in effect on the date the proceeding begins,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