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given by a property owner prohibiting a handgun license holder from carrying a handgun on certain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411.2045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411.2045.</w:t>
      </w:r>
      <w:r>
        <w:rPr>
          <w:u w:val="single"/>
        </w:rPr>
        <w:t xml:space="preserve"> </w:t>
      </w:r>
      <w:r>
        <w:rPr>
          <w:u w:val="single"/>
        </w:rPr>
        <w:t xml:space="preserve"> </w:t>
      </w:r>
      <w:r>
        <w:rPr>
          <w:u w:val="single"/>
        </w:rPr>
        <w:t xml:space="preserve">WRITTEN NOTICE: RULES.  (a)  The department shall adopt rules that prescribe the size of a sign and the lettering on that sign under Sections 30.06(c)(3)(B) and 30.07(c)(3)(B), Penal Code.  Rules adopted under this subsection may not require that a sign be larger than 8.5 inches by 11 inches for each language in which the sign must be posted.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shall adopt Spanish translations of the language described by Sections 30.06(c)(3)(A) and 30.07(c)(3)(A), Penal Code, for the signs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make available on the department's Internet website a printable copy of the English and Spanish versions of the signs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30.06(c)(3), Penal Code, is amended to read as follows:</w:t>
      </w:r>
    </w:p>
    <w:p w:rsidR="003F3435" w:rsidRDefault="0032493E">
      <w:pPr>
        <w:spacing w:line="480" w:lineRule="auto"/>
        <w:ind w:firstLine="1440"/>
        <w:jc w:val="both"/>
      </w:pPr>
      <w:r>
        <w:t xml:space="preserve">(3)</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  "Pursuant to Section 30.06, Penal Code (trespass by license holder with a concealed handgun), a person licensed under Subchapter H, Chapter 411, Government Code (handgun licensing law), may not enter this property with a concealed handgun";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w:t>
      </w:r>
      <w:r>
        <w:rPr>
          <w:u w:val="single"/>
        </w:rPr>
        <w:t xml:space="preserve">and otherwise complies with the requirements regarding the size and lettering of the sign provided by rules adopted under Section 411.2045, Government Code</w:t>
      </w:r>
      <w:r>
        <w:t xml:space="preserve"> [</w:t>
      </w:r>
      <w:r>
        <w:rPr>
          <w:strike/>
        </w:rPr>
        <w:t xml:space="preserve">at least one inch in height</w:t>
      </w:r>
      <w:r>
        <w:t xml:space="preserve">];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30.07(c)(3), Penal Code, is amended to read as follows:</w:t>
      </w:r>
    </w:p>
    <w:p w:rsidR="003F3435" w:rsidRDefault="0032493E">
      <w:pPr>
        <w:spacing w:line="480" w:lineRule="auto"/>
        <w:ind w:firstLine="1440"/>
        <w:jc w:val="both"/>
      </w:pPr>
      <w:r>
        <w:t xml:space="preserve">(3)</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  "Pursuant to Section 30.07, Penal Code (trespass by license holder with an openly carried handgun), a person licensed under Subchapter H, Chapter 411, Government Code (handgun licensing law), may not enter this property with a handgun that is carried openly";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w:t>
      </w:r>
      <w:r>
        <w:rPr>
          <w:u w:val="single"/>
        </w:rPr>
        <w:t xml:space="preserve">and otherwise complies with the requirements regarding the size and lettering of the sign provided by rules adopted under Section 411.2045, Government Code</w:t>
      </w:r>
      <w:r>
        <w:t xml:space="preserve"> [</w:t>
      </w:r>
      <w:r>
        <w:rPr>
          <w:strike/>
        </w:rPr>
        <w:t xml:space="preserve">at least one inch in height</w:t>
      </w:r>
      <w:r>
        <w:t xml:space="preserve">];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at each entrance to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public safety director of the Department of Public Safety shall adopt the rules described by Section 411.2045, Government Code, as added by this Act, and, not later than December 1, 2019, make a printable electronic copy of the sign available on the department's Internet website as required by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January 1, 2020. An offense committed before January 1, 2020, is governed by the law in effect on the date the offense was committed, and the former law is continued in effect for that purpose. For purposes of this section, an offense was committed before January 1, 2020,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