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86R1056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174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expunction of records in residential eviction suits.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24, Property Code, is amended by adding Section 24.012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24.012.</w:t>
      </w:r>
      <w:r>
        <w:rPr>
          <w:u w:val="single"/>
        </w:rPr>
        <w:t xml:space="preserve"> </w:t>
      </w:r>
      <w:r>
        <w:rPr>
          <w:u w:val="single"/>
        </w:rPr>
        <w:t xml:space="preserve"> </w:t>
      </w:r>
      <w:r>
        <w:rPr>
          <w:u w:val="single"/>
        </w:rPr>
        <w:t xml:space="preserve">EXPUNCTION OF RECORDS IN RESIDENTIAL EVICTION SUITS.  (a)  A court has jurisdiction to order the expunction of records related to a residential eviction suit if the suit was filed originally or on appeal with the court.  The court may, on oral or written motion of the tenant in the suit, order all records related to the suit in the possession or under the control of the court or other person be expunged if the court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suit is or was without sufficient basis in fact or law, including a lack of jurisdiction over the case;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expunction is in the interest of justice;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interest of justice is not outweighed by the public's interest in the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motion for expunction is made at trial, the justice court may, concurrently with a decision in the suit, order records expunged under this section.  An order issued under this subsection takes effect on the expiration of the time for filing an appeal of the decision.  On appeal of the suit to county court, an order issued under this subsection is void.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publish and shall destroy a record that is in the person's possession or under the person's control if the person knows that an order of expunction of the record has been issued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knowingly violates Subsection (c) is liable to an injured party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damages;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exemplary damages of $1,000;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 attorney's fees and court costs.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41.004(a), Civil Practice and Remedies Code, a court shall award exemplary damages under Subsection (d)(2) to the injured party irrespective of whether the party is awarded actual damages.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supreme court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Texas Supreme Court shall adopt the rules necessary to implement Section 24.012, Property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24.012, Property Code, as added by this Act, applies to a motion made on or after January 1, 2020, with respect to a residential eviction suit that commences before,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