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late fees that may be charged to certain tenants.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Subsections (a) and (b), a landlord may not charge a tenant who fails to pay rent for a rental pay period and who participates in the housing choice voucher program under Section 8, United States Housing Act of 1937 (42 U.S.C. Section 1437f), an initial late fee or daily late fees the total amount of which would exceed five percent of the amount of rent owed by the tenant during a rental pay period under the lease.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late fee charged on or after the effective date of this Act, regardless of whether the conduct for which the fee was imposed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