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prosecutors providing information about the benefits and costs of a proposed sentence for a defendant in a criminal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 Code of Criminal Procedure, is amended by adding Article 37.0701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37.0701.</w:t>
      </w:r>
      <w:r>
        <w:rPr>
          <w:u w:val="single"/>
        </w:rPr>
        <w:t xml:space="preserve"> </w:t>
      </w:r>
      <w:r>
        <w:rPr>
          <w:u w:val="single"/>
        </w:rPr>
        <w:t xml:space="preserve"> </w:t>
      </w:r>
      <w:r>
        <w:rPr>
          <w:u w:val="single"/>
        </w:rPr>
        <w:t xml:space="preserve">INFORMATION ON BENEFITS AND COSTS OF PROPOSED SENTENCE.  (a) </w:t>
      </w:r>
      <w:r>
        <w:rPr>
          <w:u w:val="single"/>
        </w:rPr>
        <w:t xml:space="preserve"> </w:t>
      </w:r>
      <w:r>
        <w:rPr>
          <w:u w:val="single"/>
        </w:rPr>
        <w:t xml:space="preserve">In the penalty phase of a trial, the attorney representing the state shall state on the record the attorney's reasoning for the terms of any sentence the attorney recommends, including the benefits and costs of the proposed sentence to the public and the total financial cost of the proposed sentence.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representing the state shall calculate the total financial cost of a proposed sentence by multiplying the number of days of the sentence by the cost per day of the sentence as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edition of the Criminal and Juvenile Justice Uniform Cost Report published by the Legislative Budget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of the prosecuting county, as required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each county annually shall calculate for the preceding fiscal year the average cost per day  of confining a prisoner convicted of an offense in that county and on request shall provide the most recently calculated cost per day to an attorney representing the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error in calculating the total financial cost of a proposed sentence under this article may not be used by a defendant in a criminal case as a ground for appeal, a ground to set aside the conviction or sentence, or a ground in a habeas corpus petition.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sentenced for an offense on or after the effective date of this Act, regardless of when the offense was committed.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