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86R1206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verification by a credit services organization of a consumer's ability to repay an extension of consumer credit.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393, Finance Code, is amended by adding Section 393.308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393.308.</w:t>
      </w:r>
      <w:r>
        <w:rPr>
          <w:u w:val="single"/>
        </w:rPr>
        <w:t xml:space="preserve"> </w:t>
      </w:r>
      <w:r>
        <w:rPr>
          <w:u w:val="single"/>
        </w:rPr>
        <w:t xml:space="preserve"> </w:t>
      </w:r>
      <w:r>
        <w:rPr>
          <w:u w:val="single"/>
        </w:rPr>
        <w:t xml:space="preserve">ENSURING ABILITY TO REPAY EXTENSION OF CONSUMER CREDIT.  (a)  A credit services organization may not obtain for a consumer or assist a consumer in obtaining, including by providing advice, an extension of consumer credit unless the credit services organization finds, using independently verifiable documentation of income and obligations, that the consumer can reasonably: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in cash, in accordance with the time and schedule of payments established by contract and applicable law, the extension of consumer credit and all associated fees and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due payments on all known obligations of the consumer concurrently.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credit services organization must retain all documentation used under Subsection (a) to establish the ability of the consumer to repay an extension of consumer credit.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 </w:t>
      </w:r>
      <w:r>
        <w:t xml:space="preserve"> </w:t>
      </w:r>
      <w:r>
        <w:t xml:space="preserve">For purposes of this section, a refinance or renewal of an extension of consumer credit is considered made on the date the extension of consumer credit being refinanced or renewed was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