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86R1205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contracts and other documents issued by credit access businesses.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393.203,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393.203.</w:t>
      </w:r>
      <w:r xml:space="preserve">
        <w:t> </w:t>
      </w:r>
      <w:r xml:space="preserve">
        <w:t> </w:t>
      </w:r>
      <w:r>
        <w:t xml:space="preserve">ISSUANCE OF CONTRACT AND OTHER DOCUMENTS.  </w:t>
      </w:r>
      <w:r>
        <w:rPr>
          <w:u w:val="single"/>
        </w:rPr>
        <w:t xml:space="preserve">(a)</w:t>
      </w:r>
      <w:r>
        <w:t xml:space="preserve">  A credit services organization shall give to the consumer, when the document is signed, a copy of the completed contract and any other document the organization requires the consumer to sign.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and other documents provided by a credit access business, as defined by Section 393.221(1), to a consumer under this section in relation to an extension of consumer credit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provided, before signing, wholly written in both English and Spanish;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written in plain language designed to be easily understood by the average consumer;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printed in an easily readable font and type size.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Finance Commission of Texas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393.223, Finance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disclosure and notice required by this section must be available in English and Spanish at each location at which the credit access business performs services described by Section 393.221(1).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