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w:t>
      </w:r>
      <w:r>
        <w:rPr>
          <w:u w:val="single"/>
        </w:rPr>
        <w:t xml:space="preserve"> </w:t>
      </w:r>
      <w:r>
        <w:rPr>
          <w:u w:val="single"/>
        </w:rPr>
        <w:t xml:space="preserve">(a)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w:t>
      </w:r>
      <w:r>
        <w:rPr>
          <w:u w:val="single"/>
        </w:rPr>
        <w:t xml:space="preserve"> </w:t>
      </w:r>
      <w:r>
        <w:rPr>
          <w:u w:val="single"/>
        </w:rPr>
        <w:t xml:space="preserve">(a)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The change in law made by Section 46.066(c), Penal Code, as added by this Act, applies only to a gun show held on or after October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