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86R1684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costs of educating educationally disadvantaged students and students of limited English proficiency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29, Education Code, is amended by adding Section 29.067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29.067.</w:t>
      </w:r>
      <w:r>
        <w:rPr>
          <w:u w:val="single"/>
        </w:rPr>
        <w:t xml:space="preserve"> </w:t>
      </w:r>
      <w:r>
        <w:rPr>
          <w:u w:val="single"/>
        </w:rPr>
        <w:t xml:space="preserve"> </w:t>
      </w:r>
      <w:r>
        <w:rPr>
          <w:u w:val="single"/>
        </w:rPr>
        <w:t xml:space="preserve">STUDY REGARDING COSTS OF EDUCATING EDUCATIONALLY DISADVANTAGED STUDENTS AND STUDENTS OF LIMITED ENGLISH PROFICIENCY; REPORT.  (a)  The agency shall conduct a study to examine the costs of educating a student who is educationally disadvantaged and a student of limited English proficiency in public schools.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compensatory education allotment under Section 42.152 provides adequate funding to schools for meeting the educational needs of students who are educationally disadvantaged;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it is determined under Subdivision (1) that the compensatory education allotment is inadequate, determine the amount of adjustment for the compensatory education allotment that would provide adequate funding to schools for meeting the educational needs of students who are educationally disadvantaged;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the bilingual education allotment under Section 42.153 provides adequate funding to schools for meeting the educational needs of students of limited English proficiency;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it is determined under Subdivision (3) that the bilingual education allotment is inadequate, determine the amount of adjustment for the bilingual education allotment that would provide adequate funding to schools for meeting the educational needs of students of limited English proficiency.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2020, the agency shall prepare a report detailing the results of the study under this section and submit the report to each standing legislative committee with primary jurisdiction over primary and secondary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