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86R2473 GCB-F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instruction about mental health in the required curriculum for public school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28.002(a),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school district that offers kindergarten through grade 12 shall offer, as a required curriculum: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foundation curriculum that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English language arts;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mathematics;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science;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social studies, consisting of Texas, United States, and world history, government, economics, with emphasis on the free enterprise system and its benefits, and geography;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enrichment curriculum that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the extent possible, languages other than English;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health, </w:t>
      </w:r>
      <w:r>
        <w:rPr>
          <w:u w:val="single"/>
        </w:rPr>
        <w:t xml:space="preserve">including mental health,</w:t>
      </w:r>
      <w:r>
        <w:t xml:space="preserve"> with emphasis on the importance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proper nutrition and exercise;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relationship between physical and mental health;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physical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fine arts;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career and technology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technology applications;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religious literature, including the Hebrew Scriptures (Old Testament) and New Testament, and its impact on history and literature;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personal financial literacy.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