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86R2623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disadvantaged business assistance program to be operated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201, Transportation Code, is amended by adding Section 201.7025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201.7025.</w:t>
      </w:r>
      <w:r>
        <w:rPr>
          <w:u w:val="single"/>
        </w:rPr>
        <w:t xml:space="preserve"> </w:t>
      </w:r>
      <w:r>
        <w:rPr>
          <w:u w:val="single"/>
        </w:rPr>
        <w:t xml:space="preserve"> </w:t>
      </w:r>
      <w:r>
        <w:rPr>
          <w:u w:val="single"/>
        </w:rPr>
        <w:t xml:space="preserve">DISADVANTAGED BUSINESS ASSISTANCE PROGRAM.  (a) The commission by rule may establish a program for assisting businesses that are identified as disadvantaged businesses under the program established under Section 201.702.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establish, as an account in the state highway fund, a revolving fund to provide financing to foster and stimulate the development of the businesses. The revolving fund may be composed of financing application fees, loan repayments, guarantee fees, dividend income, donations, contributions, or money appropriated by the legislature for purposes for which the fund may be used, amounts received by the state from federal grants or other sources, and any other amounts received under this section and required by the department to be deposited in the revolving fund. </w:t>
      </w:r>
      <w:r>
        <w:rPr>
          <w:u w:val="single"/>
        </w:rPr>
        <w:t xml:space="preserve"> </w:t>
      </w:r>
      <w:r>
        <w:rPr>
          <w:u w:val="single"/>
        </w:rPr>
        <w:t xml:space="preserve">Money that is dedicated for another purpose, including money that is required to be used for public roadways by the Texas Constitution or federal law, may not be deposited in the revolving fund. </w:t>
      </w:r>
      <w:r>
        <w:rPr>
          <w:u w:val="single"/>
        </w:rPr>
        <w:t xml:space="preserve"> </w:t>
      </w:r>
      <w:r>
        <w:rPr>
          <w:u w:val="single"/>
        </w:rPr>
        <w:t xml:space="preserve">Interest earned on the money in the revolving fund shall be credited to the revolving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revolving fund established under this section may be used only to provide financing, including loans, to foster and stimulate the development of businesses that are identified as disadvantaged businesses under the program established under Section 201.702 and for the purposes of that program, particularly to help remove barriers to the participation of disadvantaged businesses in department contracts and to assist the development of those businesses so that they are able to compete successfully in the marketplace without program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Financing from the revolving fund established under this section must be on terms and conditions that the department determines to be reasonable, appropriate, and consistent with the purposes and objectives of this section and the program established under Section 201.702.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governing the terms and conditions of the financing, specifically including requirements for appropriate security or collateral, equity interest, and the rights and remedies of the department in the event of a default on a loan. The rules must include a requirement that applicants report to the department on the use of money distributed from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claim of the state for a payment owed to the state under this section by a person who has been provided financing under this section is considered a state debt for purposes of Section 403.055,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