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preference given by state agencies for certain goods and services produced or offered by small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2155, Government Code, is amended by adding Section 2155.454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2155.454.</w:t>
      </w:r>
      <w:r>
        <w:rPr>
          <w:u w:val="single"/>
        </w:rPr>
        <w:t xml:space="preserve"> </w:t>
      </w:r>
      <w:r>
        <w:rPr>
          <w:u w:val="single"/>
        </w:rPr>
        <w:t xml:space="preserve"> </w:t>
      </w:r>
      <w:r>
        <w:rPr>
          <w:u w:val="single"/>
        </w:rPr>
        <w:t xml:space="preserve">PREFERENCE FOR SMALL BUSINESS.  (a) In this section, "small business" has the meaning assigned by Section 2155.505.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comptroller and each state agency that enters into a contract for the purchase of goods or services with a value of less than $500,000 shall give preference to goods or services produced or offered by a small business.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the purchase of telecommunications equipment, telecommunications service, advanced communications services, or information service, as those terms are defined by 47 U.S.C. Section 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contract for goods or services that is entered into on or after the effective date of this Act. A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