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86R2644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regarding a municipality's comprehensive plan for long-range development, including adoption of an environmental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213.003, Local Government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comprehensive plan may be adopted or amended </w:t>
      </w:r>
      <w:r>
        <w:rPr>
          <w:u w:val="single"/>
        </w:rPr>
        <w:t xml:space="preserve">only</w:t>
      </w:r>
      <w:r>
        <w:t xml:space="preserve"> by ordinance following: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hearing at which the public is given the opportunity to give testimony and present written evidence;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by the municipality's planning commission or department, if one exists.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that has adopted a  comprehensive plan shall update the plan at least every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213, Local Government Code, is amended by adding Section 213.006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213.006.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ENVIRONMENTAL EVALUATION REPORT.  (a)  As part of a municipality's comprehensive plan, the municipality's governing body must also adopt an environmental evaluation report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projections regarding adverse and beneficial environmental results that may be reasonably anticipated due to implementation of the comprehensive plan, including changes in air, water, and soil quality;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plans for the identification and monitoring of, and protection against, any adverse environmental results projected under Subdivision 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either: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assessment of the cost to remedy or mitigate any adverse results projected under Subdivision (1);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feasibility study of alternative planning that mitigates those projected adverse results.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environmental evaluation report may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organizational structure of community planning committees;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identification of best practices, procedures, processes, and resources for developing, implementing, achieving, reviewing, and maintaining continuous improvement in environmental policy.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