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first and last days of school for students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or last day of instruction requirements under Sections 25.0811 and 25.0812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if the district operates a year-round system under Section 25.084; or</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w:t>
      </w:r>
      <w:r>
        <w:t xml:space="preserve">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25.0812,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(b), a school district may not schedule the last day of school for students for a school year before May 15 </w:t>
      </w:r>
      <w:r>
        <w:rPr>
          <w:u w:val="single"/>
        </w:rPr>
        <w:t xml:space="preserve">or after the Friday preceding Memorial Day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schedule the last day of school for students for a school year after the Friday preceding Memorial Day if the district operates a year-round system under Section 25.084.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25.0811 </w:t>
      </w:r>
      <w:r>
        <w:rPr>
          <w:u w:val="single"/>
        </w:rPr>
        <w:t xml:space="preserve">and the date of the last day of school for a school year under Section 25.0812</w:t>
      </w:r>
      <w:r>
        <w:t xml:space="preserve"> for a school that was operating year-round for the </w:t>
      </w:r>
      <w:r>
        <w:rPr>
          <w:u w:val="single"/>
        </w:rPr>
        <w:t xml:space="preserve">2018-2019</w:t>
      </w:r>
      <w:r>
        <w:t xml:space="preserve"> [</w:t>
      </w:r>
      <w:r>
        <w:rPr>
          <w:strike/>
        </w:rPr>
        <w:t xml:space="preserve">2000-2001</w:t>
      </w:r>
      <w:r>
        <w:t xml:space="preserve">]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