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Krause, Middleton, Guillen, Phelan,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Price,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</w:t>
      </w:r>
      <w:r>
        <w:t xml:space="preserve"> </w:t>
      </w:r>
      <w:r>
        <w:t xml:space="preserve">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 prohibits or regulates, including by requiring a license, permit, or fee, the occasional sale of lemonade or other nonalcoholic beverages from a stand on private property or in a public park by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A property owners' association of a residential subdivision may not adopt or enforce a restrictive covenant that prohibits or regulates, including by requiring a permit or fee, the occasional sale of lemonade or other nonalcoholic beverages from a stand on property located in the subdivision by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