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86R1118 NC-D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Krause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local regulation of the sale of lemonade or other beverages by children.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Chapter 250, Local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CHAPTER 250. </w:t>
      </w:r>
      <w:r>
        <w:t xml:space="preserve"> </w:t>
      </w:r>
      <w:r>
        <w:t xml:space="preserve">MISCELLANEOUS REGULATORY AUTHORITY [</w:t>
      </w:r>
      <w:r>
        <w:rPr>
          <w:strike/>
        </w:rPr>
        <w:t xml:space="preserve">OF MUNICIPALITIES AND COUNTIES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250, Local Government Code, is amended by adding Section 250.009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250.009.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SALES OF BEVERAGES BY CHILDREN.  Notwithstanding any other law, a municipality, county, or other local public health authority may not adopt or enforce an ordinance, order, or rule that</w:t>
      </w:r>
      <w:r>
        <w:rPr>
          <w:u w:val="single"/>
        </w:rPr>
        <w:t xml:space="preserve"> </w:t>
      </w:r>
      <w:r>
        <w:rPr>
          <w:u w:val="single"/>
        </w:rPr>
        <w:t xml:space="preserve">prohibits an individual younger than 18 years of age from temporarily selling lemonade or other nonalcoholic beverages from a stand on private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