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Nelson)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234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local regulation of the sale of lemonade or other beverages by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250,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250.  MISCELLANEOUS REGULATORY AUTHORITY [</w:t>
      </w:r>
      <w:r>
        <w:rPr>
          <w:strike/>
        </w:rPr>
        <w:t xml:space="preserve">OF MUNICIPALITIES AND COUNTIES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SALES OF BEVERAGES BY CHILDREN.  Notwithstanding any other law, a municipality, county, or other local public health authority may not adopt or enforce an ordinance, order, or rule that prohibits or regulates, including by requiring a license, permit, or fee, the occasional sale of lemonade or other nonalcoholic beverages from a stand on private property or in a public park by an individual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SALES OF BEVERAGES BY CHILDREN.  (a) A property owners' association of a residential subdivision may not adopt or enforce a restrictive covenant that prohibits or regulates, including by requiring a permit or fee, the occasional sale of lemonade or other nonalcoholic beverages from a stand on property located in the subdivision by an individual younger than 18 years of age who resides in the subdivision.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 association: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owe a duty of care to persons participating in a beverage sale described by Subsection (a);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liable for any injury to persons participating in a beverage sale described by Subsection (a), except for willful or wanton acts or gross negligence of the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