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certain federal laws regulating firearms, firearm accessories, and firearm ammunition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Penal Code, is amended by adding Section 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w:t>
      </w:r>
      <w:r>
        <w:rPr>
          <w:u w:val="single"/>
        </w:rPr>
        <w:t xml:space="preserve"> </w:t>
      </w:r>
      <w:r>
        <w:rPr>
          <w:u w:val="single"/>
        </w:rPr>
        <w:t xml:space="preserve"> </w:t>
      </w:r>
      <w:r>
        <w:rPr>
          <w:u w:val="single"/>
        </w:rPr>
        <w:t xml:space="preserve">ENFORCEMENT OF CERTAIN FEDERAL LAWS REGULATING FIREARMS, FIREARM ACCESSORIES, AND FIREARM AMMUNITION.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a firearm.  The term includes a detachable firearm magazine.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agency of this state or a political subdivision of this state, and a law enforcement officer or other person employed by an agency of this state or a political subdivision of this state, may not contract with or in any other manner provide assistance to a federal agency or official with respect to the enforcement of a federal statute, order, rule, or regulation purporting to regulate a firearm, a firearm accessory, or firearm ammunition if the statute, order, rule, or regulation imposes a prohibition, restriction, or other regulation, such as a capacity or size limitation or a registration requirement, that does not exist under the laws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contract or agreement to provide assistance in the enforcement of a federal statute, order, rule, or regulation in effect on August 31, 2019, that pertains to border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of this state may not receive state grant funds if the political subdivision adopts a rule, order, ordinance, or policy under which the political subdivision requires the enforcement of any federal statute, order, rule, or regulation described by Subsection (b) or, by consistent actions, requires the enforcement of any federal statute, order, rule, or regulation described by Subsection (b).  State grant funds for the political subdivision shall be denied for the fiscal year following the year in which a final judicial determination in an action brought under this section is made that the political subdivision has intentionally required the enforcement of any federal statute, order, rule, or regulation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citizen residing in the jurisdiction of a political subdivision of this state may file a complaint with the attorney general if the citizen offers evidence to support an allegation that the political subdivision has adopted a rule, order, ordinance, or policy under which the political subdivision requires the enforcement of any federal statute, order, rule, or regulation described by Subsection (b) or that the political subdivision, by consistent actions, requires the enforcement of any federal statute, order, rule, or regulation described by Subsection (b).  The citizen must include with the complaint the evidence the citizen has that supports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 political subdivision of this state is valid, the attorney general may file a petition for a writ of mandamus or apply for other appropriate equitable relief in a district court in Travis County or in a county in which the principal office of the political subdivision is located to compel the political subdivision to comply with Subsection (b).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shall defend any agency of this state that the federal government attempts to sue for an action or omission consistent with the requirements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