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imposed on certain residence homesteads.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31.031(a), Tax Code, as amended by Chapters 122 (H.B. 97), 643 (H.B. 709), and 935 (H.B. 1597), Acts of the 83rd Legislature, Regular Session, 2013,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individual who is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disabled or at least 65 years of age;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qualified for an exemption under Section </w:t>
      </w:r>
      <w:r>
        <w:rPr>
          <w:u w:val="single"/>
        </w:rPr>
        <w:t xml:space="preserve">11.13,</w:t>
      </w:r>
      <w:r>
        <w:t xml:space="preserve"> [</w:t>
      </w:r>
      <w:r>
        <w:rPr>
          <w:strike/>
        </w:rPr>
        <w:t xml:space="preserve">11.13(c),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individual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disabled veteran or the unmarried surviving spouse of a disabled veteran;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qualified for an exemption under Section</w:t>
      </w:r>
      <w:r>
        <w:t xml:space="preserve">] 11.132</w:t>
      </w:r>
      <w:r>
        <w:rPr>
          <w:u w:val="single"/>
        </w:rPr>
        <w:t xml:space="preserve">,</w:t>
      </w:r>
      <w:r>
        <w:t xml:space="preserve"> or 11.22.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