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86R1877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resources in determining eligibility for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w:t>
      </w:r>
      <w:r>
        <w:rPr>
          <w:u w:val="single"/>
        </w:rPr>
        <w:t xml:space="preserve"> </w:t>
      </w:r>
      <w:r>
        <w:rPr>
          <w:u w:val="single"/>
        </w:rPr>
        <w:t xml:space="preserve"> </w:t>
      </w:r>
      <w:r>
        <w:rPr>
          <w:u w:val="single"/>
        </w:rPr>
        <w:t xml:space="preserve">EXCLUSION OF CERTAIN RESOURCES IN DETERMINING SNAP ELIGIBILITY. In determining the eligibility of an applicant for or recertifying the eligibility of a recipient of supplemental nutrition assistance benefits, the commission may not consider as resources: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liquid resources of the applicant or recipient or a member of the applicant's or recipient's household, including the total amount of assets held in a school-based account or bond described by Section 28.0024(b)(2), Education Code, that are considered liquid resources, notwithstanding Section 33.0291(b) of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motor vehicle in which the applicant or recipient or a member of the applicant's or recipient's household has an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