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to address postpartum depression.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Health and Safety Code, is amended by adding Section 32.046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32.046.</w:t>
      </w:r>
      <w:r>
        <w:rPr>
          <w:u w:val="single"/>
        </w:rPr>
        <w:t xml:space="preserve"> </w:t>
      </w:r>
      <w:r>
        <w:rPr>
          <w:u w:val="single"/>
        </w:rPr>
        <w:t xml:space="preserve"> </w:t>
      </w:r>
      <w:r>
        <w:rPr>
          <w:u w:val="single"/>
        </w:rPr>
        <w:t xml:space="preserve">POSTPARTUM DEPRESSION STRATEGIC PLAN.  (a) </w:t>
      </w:r>
      <w:r>
        <w:rPr>
          <w:u w:val="single"/>
        </w:rPr>
        <w:t xml:space="preserve"> </w:t>
      </w:r>
      <w:r>
        <w:rPr>
          <w:u w:val="single"/>
        </w:rPr>
        <w:t xml:space="preserve">The commission shall develop and implement a five-year strategic plan to improve access to postpartum depression screening, referral, treatment, and support services. </w:t>
      </w:r>
      <w:r>
        <w:rPr>
          <w:u w:val="single"/>
        </w:rPr>
        <w:t xml:space="preserve"> </w:t>
      </w:r>
      <w:r>
        <w:rPr>
          <w:u w:val="single"/>
        </w:rPr>
        <w:t xml:space="preserve">Not later than September 1 of the last fiscal year in each five-year period, the commission shall develop a new strategic plan for the next five fiscal years beginning with the following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provide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awareness among state-administered program providers who may serve women who are at risk of or are experiencing postpartum depression about the prevalence and effects of postpartum depression on outcomes for women and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referral network of community-based mental health providers and support services addressing postpartum depression;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women's access to formal and informal peer support services, including access to certified peer specialists who have received additional training related to postpartum depression;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raise public awareness of and reduce the stigma related to postpartum depression;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leverage sources of funding to support existing community-based postpartum depression screening, referral, treatment, and support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coordinate with the department, the statewide health coordinating council, the office of mental health coordination, and the statewide behavioral health coordinating council in developing the strategic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in consultation with the department, the statewide health coordinating council, the office of mental health coordination, and the statewide behavioral health coordinating council, shall annually review and update, as necessary, the strategic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"postpartum depression" means a disorder in which a woman experiences moderate to severe depression following a pregnancy, regardless of whether the pregnancy resulted in birth, or an act defined by Section 245.002(1).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Health and Human Services Commission shall develop the initial strategic plan required by Section 32.046,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253 was passed by the House on April 16, 2019, by the following vote:</w:t>
      </w:r>
      <w:r xml:space="preserve">
        <w:t> </w:t>
      </w:r>
      <w:r xml:space="preserve">
        <w:t> </w:t>
      </w:r>
      <w:r>
        <w:t xml:space="preserve">Yeas 89, Nays 55,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253 was passed by the Senate on May 15,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