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86R30646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257:</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policy requiring certain public primary and secondary schools to provide local law enforcement agencies certain information regarding certain individuals authorized to carry a handgun on a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37.0814.</w:t>
      </w:r>
      <w:r>
        <w:rPr>
          <w:u w:val="single"/>
        </w:rPr>
        <w:t xml:space="preserve"> </w:t>
      </w:r>
      <w:r>
        <w:rPr>
          <w:u w:val="single"/>
        </w:rPr>
        <w:t xml:space="preserve"> </w:t>
      </w:r>
      <w:r>
        <w:rPr>
          <w:u w:val="single"/>
        </w:rPr>
        <w:t xml:space="preserve">LAW ENFORCEMENT COMMUNICATION AND COORDINATION POLICY.  (a)  This section applies to a school district or open-enrollment charter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authorizes an individual, other than an individual described by Subsection (b), to carry a handgun for security purposes under written regulations or written authorization of the district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an individual described by Subdivision (1) to complete the school safety training and instruction described by Section 411.1901(c),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appointed as a school marshal under Section 37.0811 or 37.0813;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employed as security personnel under Section 37.081 and authorized to carry a handgun in accordance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or the governing body of an open-enrollment charter school that is subject to this section shall adopt a policy regarding communication and coordination with local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this section must require the school district or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each law enforcement agency that has jurisdiction over the district or school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each campus at which an individual described by Subsection (a) is authorized to carry a handgun;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identity of each individual described by Subsection (a) and the campus where that individual is regularly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as necessary, the information provided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provided to a law enforcement agency under a policy adopted under this section regarding the identity or place of employment of an individual described by Subsection (a) is confidential, may be used by the law enforcement agency only for law enforcement purposes, and is not subject to a request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