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86R1650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governing body of a local authority to operate an automated traffic control system;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542.2035, Transportation Code, is amended to read as follows:</w:t>
      </w:r>
    </w:p>
    <w:p w:rsidR="003F3435" w:rsidRDefault="0032493E">
      <w:pPr>
        <w:spacing w:line="480" w:lineRule="auto"/>
        <w:ind w:firstLine="720"/>
        <w:jc w:val="both"/>
      </w:pPr>
      <w:r>
        <w:t xml:space="preserve">Sec.</w:t>
      </w:r>
      <w:r xml:space="preserve">
        <w:t> </w:t>
      </w:r>
      <w:r>
        <w:t xml:space="preserve">542.2035.</w:t>
      </w:r>
      <w:r xml:space="preserve">
        <w:t> </w:t>
      </w:r>
      <w:r xml:space="preserve">
        <w:t> </w:t>
      </w:r>
      <w:r>
        <w:rPr>
          <w:u w:val="single"/>
        </w:rPr>
        <w:t xml:space="preserve">AUTOMATED TRAFFIC CONTROL SYSTEMS PROHIBITED</w:t>
      </w:r>
      <w:r>
        <w:t xml:space="preserve"> [</w:t>
      </w:r>
      <w:r>
        <w:rPr>
          <w:strike/>
        </w:rPr>
        <w:t xml:space="preserve">LIMITATION ON MUNICIPALITIES</w:t>
      </w:r>
      <w:r>
        <w:t xml:space="preserve">].  (a)  A </w:t>
      </w:r>
      <w:r>
        <w:rPr>
          <w:u w:val="single"/>
        </w:rPr>
        <w:t xml:space="preserve">local authority</w:t>
      </w:r>
      <w:r>
        <w:t xml:space="preserve"> [</w:t>
      </w:r>
      <w:r>
        <w:rPr>
          <w:strike/>
        </w:rPr>
        <w:t xml:space="preserve">municipality</w:t>
      </w:r>
      <w:r>
        <w:t xml:space="preserve">] may not implement or operate an automated traffic control system with respect to a highway or street under its jurisdiction [</w:t>
      </w:r>
      <w:r>
        <w:rPr>
          <w:strike/>
        </w:rPr>
        <w:t xml:space="preserve">for the purpose of enforcing compliance with posted speed limits</w:t>
      </w:r>
      <w:r>
        <w:t xml:space="preserve">].  The attorney general shall enforce this subsection.</w:t>
      </w:r>
    </w:p>
    <w:p w:rsidR="003F3435" w:rsidRDefault="0032493E">
      <w:pPr>
        <w:spacing w:line="480" w:lineRule="auto"/>
        <w:ind w:firstLine="720"/>
        <w:jc w:val="both"/>
      </w:pPr>
      <w:r>
        <w:t xml:space="preserve">(b)</w:t>
      </w:r>
      <w:r xml:space="preserve">
        <w:t> </w:t>
      </w:r>
      <w:r xml:space="preserve">
        <w:t> </w:t>
      </w:r>
      <w:r>
        <w:t xml:space="preserve">In this section, "automated traffic control system" means </w:t>
      </w:r>
      <w:r>
        <w:rPr>
          <w:u w:val="single"/>
        </w:rPr>
        <w:t xml:space="preserve">a system consisting of</w:t>
      </w:r>
      <w:r>
        <w:t xml:space="preserve"> a photographic device, radar device, laser device, or other electrical or mechanical device </w:t>
      </w:r>
      <w:r>
        <w:rPr>
          <w:u w:val="single"/>
        </w:rPr>
        <w:t xml:space="preserve">that</w:t>
      </w:r>
      <w:r>
        <w:t xml:space="preserve"> [</w:t>
      </w:r>
      <w:r>
        <w:rPr>
          <w:strike/>
        </w:rPr>
        <w:t xml:space="preserve">designed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is capable of producing one or more recorded photographic or digital images depicting the license plate attached to the front or rear of a motor vehicle that is not operated in compliance with a posted speed limit or the instructions of a traffic-control signal;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used by the local authority to enforce compliance with a posted speed limit or the instructions of a traffic-control signal by imposition of a civil or administrative penalty against the owner or operator of the motor vehicle</w:t>
      </w:r>
      <w:r>
        <w:t xml:space="preserve"> [</w:t>
      </w:r>
      <w:r>
        <w:rPr>
          <w:strike/>
        </w:rPr>
        <w:t xml:space="preserve">record the speed of a motor vehicle;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obtain one or more photographs or other recorded images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vehicle;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license plate attached to the vehicle;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operator of the vehicle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authority that violates Subsection (a) is liable for a civil penalty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$10,000 and not more than $10,500 for the second or a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Subsection (a) constitutes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citizen of this state may file a complaint with the attorney general that a local authority is in violation of Subsection (a).  A complaint filed under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of the violation;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that the citizen provided the local authority written notice that described the violation, including the specific location of the automated traffic control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written notice the citizen provided the local authority;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local authority did not cure the violation before the fourth business day after the date the local authority received the notice.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by the attorney general under this section shall be deposited to the credit of the designated trauma facility and emergency medical services account under Section 780.003, Health and Safety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Before a suit may be brought against a local authority for a violation of Subsection (a), the attorney general must investigate the complaint to determine whether legal action is warranted.  If legal action is warranted, the attorney general must give the chief administrative officer of the local authority charged with the violation a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violation and specific location of the automated traffic control system found to be in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the amount of the proposed penalty for the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gives the local authority 15 days from receipt of the notice to remove the automated traffic control system and cure the violation to avoid the penalty, unless the local authority was found liable by a court for previously violating Subsection (a).</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attorney general determines that legal action is warranted and that the local authority has not cured the violation within the 15-day period provided by Subsection (g)(3), the attorney general or the appropriate county or district attorney may sue to collect the civil penalty provided by Subsection (c).  The attorney general may also file a petition for a writ of mandamus or apply for other appropriate equitable relief.  A suit or petition under this subsection may be filed in a district court in Travis County or in a county in which the principal office of the local authority is located.  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Sovereign immunity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$10,000,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cases arising under Chapter 707, Transportation Code, outside a municipality's territorial limits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w:t>
      </w:r>
      <w:r>
        <w:rPr>
          <w:u w:val="single"/>
        </w:rPr>
        <w:t xml:space="preserve">Section 542.2035</w:t>
      </w:r>
      <w:r>
        <w:t xml:space="preserve"> [</w:t>
      </w:r>
      <w:r>
        <w:rPr>
          <w:strike/>
        </w:rPr>
        <w:t xml:space="preserve">Sections 542.406 and 707.008</w:t>
      </w:r>
      <w:r>
        <w:t xml:space="preserve">], Transportation Code, and under Section 780.002 of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133.152;</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w:t>
      </w:r>
      <w:r>
        <w:rPr>
          <w:strike/>
        </w:rPr>
        <w:t xml:space="preserve">certain</w:t>
      </w:r>
      <w:r>
        <w:t xml:space="preserve">] statutory probate courts under Section 51.704, Government Code;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Section 133.154[</w:t>
      </w:r>
      <w:r>
        <w:rPr>
          <w:strike/>
        </w:rPr>
        <w:t xml:space="preserve">;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542.406(c)(1), Transportation Code, imposed by a local authority to enforce compliance with the instructions of a traffic-control signal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707.008(a)(1), Transportation Code, imposed by a local authority to enforce compliance with the instructions of a traffic-control signal</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29.003(g), Government Code;</w:t>
      </w:r>
    </w:p>
    <w:p w:rsidR="003F3435" w:rsidRDefault="0032493E">
      <w:pPr>
        <w:spacing w:line="480" w:lineRule="auto"/>
        <w:ind w:firstLine="1440"/>
        <w:jc w:val="both"/>
      </w:pPr>
      <w:r>
        <w:t xml:space="preserve">(2)</w:t>
      </w:r>
      <w:r xml:space="preserve">
        <w:t> </w:t>
      </w:r>
      <w:r xml:space="preserve">
        <w:t> </w:t>
      </w:r>
      <w:r>
        <w:t xml:space="preserve">Sections 542.405, 542.406, and 544.012, Transportation Code; and</w:t>
      </w:r>
    </w:p>
    <w:p w:rsidR="003F3435" w:rsidRDefault="0032493E">
      <w:pPr>
        <w:spacing w:line="480" w:lineRule="auto"/>
        <w:ind w:firstLine="1440"/>
        <w:jc w:val="both"/>
      </w:pPr>
      <w:r>
        <w:t xml:space="preserve">(3)</w:t>
      </w:r>
      <w:r xml:space="preserve">
        <w:t> </w:t>
      </w:r>
      <w:r xml:space="preserve">
        <w:t> </w:t>
      </w:r>
      <w:r>
        <w:t xml:space="preserve">Chapter 707, Transportation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repeal by this Act of Sections 542.405 and 542.406 and Chapter 707, Transportation Code, does not affect the validity of a proceeding initiated or a civil penalty imposed under those provisions before the effective date of this Act.  A proceeding initiated or a civil penalty imposed under those provisions before the effective date of this Act is governed by the applicable law in effect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the repeal by this Act of Sections 542.405 and 542.406 and Chapter 707, Transportation Code, if before the effective date of this Act a local authority enacted an ordinance under those provisions to implement an automated traffic control system and entered into a contract for the administration and enforcement of the system, the local authority may continue to operate the system under that ordinance and under the terms of that contract until the expiration date specified in the contract as the contract existed on the effective date of this Act.</w:t>
      </w:r>
    </w:p>
    <w:p w:rsidR="003F3435" w:rsidRDefault="0032493E">
      <w:pPr>
        <w:spacing w:line="480" w:lineRule="auto"/>
        <w:ind w:firstLine="720"/>
        <w:jc w:val="both"/>
      </w:pPr>
      <w:r>
        <w:t xml:space="preserve">(c)</w:t>
      </w:r>
      <w:r xml:space="preserve">
        <w:t> </w:t>
      </w:r>
      <w:r xml:space="preserve">
        <w:t> </w:t>
      </w:r>
      <w:r>
        <w:t xml:space="preserve">Subsection (b) of this section does not apply to a contract for the administration and enforcement of an automated traffic control system entered into before the effective date of this Act that explicitly authorizes termination of the contract on the basis of adverse state legislation.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