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motor vehicle sales and use taxes for certain previously leased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152, Tax Code, is amended by adding Section 152.094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152.094.</w:t>
      </w:r>
      <w:r>
        <w:rPr>
          <w:u w:val="single"/>
        </w:rPr>
        <w:t xml:space="preserve"> </w:t>
      </w:r>
      <w:r>
        <w:rPr>
          <w:u w:val="single"/>
        </w:rPr>
        <w:t xml:space="preserve"> </w:t>
      </w:r>
      <w:r>
        <w:rPr>
          <w:u w:val="single"/>
        </w:rPr>
        <w:t xml:space="preserve">PURCHASE BY LESSEE.  The taxes imposed by Sections 152.021 and 152.022 do not apply to the retail sale of a motor vehicle on termination of a lease of the motor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purchaser was the lessee under the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lessor under the lease;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originally purchased the motor vehicle for the purpose of leasing the motor vehicle and paid the tax due under this chapter or the tax due to another state on that purchase.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