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Department of Public Safety of certain information on border crime and other criminal activity related to border security.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 </w:t>
      </w:r>
      <w:r>
        <w:rPr>
          <w:u w:val="single"/>
        </w:rPr>
        <w:t xml:space="preserve"> </w:t>
      </w:r>
      <w:r>
        <w:rPr>
          <w:u w:val="single"/>
        </w:rPr>
        <w:t xml:space="preserve">Not later than January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year and yearly totals of all border crime, as defined by Section 772.0071, and other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