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attendance calculation for elementary grade levels.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42.005, education code, is amended by adding Subsection (o):</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grade levels kindergarten, first, second, third, fourth, and fifth grade, average daily attendance is equivalent to the final enrollment number submitted by each Local Education Agency to the Public Education Information Management System annually.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