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86R2308 AAF-D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Israel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operation of a public transit motor bus by certain mass transit entities on an improved shoulder.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545.058(c),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limitation in this section on driving on an improved shoulder does not apply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authorized emergency vehicle responding to a call;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police patrol;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bicycle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public transit motor bus of a mass transit entity operating under Subtitle K, Title 6, if the motor bus is: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operating within the boundaries of a metropolitan planning organization in which: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least five counties are located;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two counties with the largest populations are part of a regional mobility authority governed by Chapter 370;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bypassing traffic on a highway that is under construction by operating on a shoulder designated by the Texas Department of Transportation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