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86R373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274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disaster reinvestment and infrastructure planning revolving fund and the permissible uses of that fund;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 Water Code, is amended by adding Subchapter H to read as follows:</w:t>
      </w:r>
    </w:p>
    <w:p w:rsidR="003F3435" w:rsidRDefault="0032493E">
      <w:pPr>
        <w:spacing w:line="480" w:lineRule="auto"/>
        <w:jc w:val="center"/>
      </w:pPr>
      <w:r>
        <w:rPr>
          <w:u w:val="single"/>
        </w:rPr>
        <w:t xml:space="preserve">SUBCHAPTER H.  DISASTER REINVESTMENT AND INFRASTRUCTURE PLANNING REVOLVING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6.271.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"Category I qualifying political subdivision" means a political subdivision located wholly or partly in an area declared by the governor to be a disaster area that the Federal Emergency Management Agency has determined is eligible to receive financial assistance from the agency in response to the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"Category II qualifying political subdivision" means a political subdivision located wholly or partly in an area declared by the governor to be a disaster area that the Federal Emergency Management Agency has determined is ineligible to receive financial assistance from the agency in response to the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means the disaster reinvestment and infrastructure planning revolving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"Qualifying infrastructure project" means a project located in a Category I or II qualifying political subdivision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rebuild infrastructure damaged or destroyed in a disaster;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construct infrastructure to mitigate damage from a future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6.272.</w:t>
      </w:r>
      <w:r>
        <w:rPr>
          <w:u w:val="single"/>
        </w:rPr>
        <w:t xml:space="preserve"> </w:t>
      </w:r>
      <w:r>
        <w:rPr>
          <w:u w:val="single"/>
        </w:rPr>
        <w:t xml:space="preserve"> </w:t>
      </w:r>
      <w:r>
        <w:rPr>
          <w:u w:val="single"/>
        </w:rPr>
        <w:t xml:space="preserve">CREATION OF FUND.  (a)  The disaster reinvestment and infrastructure planning revolving fund is created as a fund outside the state treasury with the comptroller, to be administered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fund may be used only to provide financial assistance to Category I and II qualifying political subdivisions in the manner provided by this subchapter, and it is the intent of the legislature that the fund remain available in perpetuity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or transferred to the fund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 money appropriated, credited, or transferred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received by the board for the repayment of a loan made from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or grants contributed to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interest earned on deposits and investments of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6.273.</w:t>
      </w:r>
      <w:r>
        <w:rPr>
          <w:u w:val="single"/>
        </w:rPr>
        <w:t xml:space="preserve"> </w:t>
      </w:r>
      <w:r>
        <w:rPr>
          <w:u w:val="single"/>
        </w:rPr>
        <w:t xml:space="preserve"> </w:t>
      </w:r>
      <w:r>
        <w:rPr>
          <w:u w:val="single"/>
        </w:rPr>
        <w:t xml:space="preserve">USE OF MONEY IN FUND.  (a)  The board by rule shall establish a revolving loan and grant program to use money from the fund to provide financial assistance to Category I and II qualifying political subdivisions to finance qualifying infrastructure projects in the political subdivision, subject to the provisions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fund shall be allocated by the board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money in the fund must be available to provide loans to Category I qualifying political subdivisions;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remainder of the money in the fund must be available to provide loans or grants to Category II qualifying political subdivisions.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loan from the fund must be made subject to the following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loan 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at or below market interest rates for a term not to exceed 20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able to be repaid early with no penalty;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principal and interest payments on the loan must begin not later than 18 months after the loan is originated;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fund must be credited with all principal and interest payments on all loans from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the board may use up to 25 percent of the money described by Subsection (b)(2) to award grants to Category II qualifying political subdivisions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in the payment of the political subdivision's costs associated with a qualifying infrastructure project described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principal of and interest on a loan received from the fund by the political subdivision.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suspend the award of grants from the fund under Subsection (d) for the duration of a period during which the balance of the fund is less than a minimum fund balance established by rule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6.274.</w:t>
      </w:r>
      <w:r>
        <w:rPr>
          <w:u w:val="single"/>
        </w:rPr>
        <w:t xml:space="preserve"> </w:t>
      </w:r>
      <w:r>
        <w:rPr>
          <w:u w:val="single"/>
        </w:rPr>
        <w:t xml:space="preserve"> </w:t>
      </w:r>
      <w:r>
        <w:rPr>
          <w:u w:val="single"/>
        </w:rPr>
        <w:t xml:space="preserve">APPLICATION FOR LOAN OR GRANT.  (a)  The board shall develop and implement an application process for a loan or grant under this subchapter.  At a minimum, the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qualifying infrastructure project for which the applicant is requesting the loan or grant;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the total cost of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estimate of the amount of federal money the applicant expects to receive for the project, if any;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evidence that the applicant has staff, policies, and procedures in place adequate to complete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to prioritize certain applicants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of qualifying infrastructure project for which the applicant is requesting the loan or grant;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provided by the applicants, or other information that is available to the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criteria developed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providing an expedited procedure for acting on an application for financial assistance from the fund for a qualifying infrastructure project, provided that the expedited procedure may not affect an applicant's receipt of federal money to which the applicant may be eligible as a result of the disaster.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amount of $15 million is appropriated from the economic stabilization fund to the comptroller for the purpose of transferring that amount immediately to the credit of the disaster reinvestment and infrastructure planning revolving fund.</w:t>
      </w:r>
    </w:p>
    <w:p w:rsidR="003F3435" w:rsidRDefault="0032493E">
      <w:pPr>
        <w:spacing w:line="480" w:lineRule="auto"/>
        <w:ind w:firstLine="720"/>
        <w:jc w:val="both"/>
      </w:pPr>
      <w:r>
        <w:t xml:space="preserve">(b)</w:t>
      </w:r>
      <w:r xml:space="preserve">
        <w:t> </w:t>
      </w:r>
      <w:r xml:space="preserve">
        <w:t> </w:t>
      </w:r>
      <w:r>
        <w:t xml:space="preserve">This section takes effect only if this Act is approved by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