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online admission application forms for public institutions of higher education include a link to certain comparative gainful employment data.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51.762, Education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common admission application form adopted under this section must include a prominent link to comparative gainful employment data regarding institutions of higher education, including information described by Section 7.040, on a website maintained by the board using data compiled by the board in coordination with the Texas Workforce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51.763(b),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form </w:t>
      </w:r>
      <w:r>
        <w:rPr>
          <w:u w:val="single"/>
        </w:rPr>
        <w:t xml:space="preserve">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shall</w:t>
      </w:r>
      <w:r>
        <w:t xml:space="preserve">] allow each applicant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apply electronically to one or more of the general academic teaching institutions within the university system;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indicate preferences for admission between those institutions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 prominent link to comparative gainful employment data regarding institutions of higher education, including information described by Section 7.040, on a website maintained by the board using data compiled by the board in coordination with the Texas Workforce Commission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and the governing board of a university system shall comply with Section 51.762(b-1) or 51.763(b)(2), Education Code, as added by this Act, as applicable, as soon as practicable following the effective date of this Act but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277 was passed by the House on March 20, 2019, by the following vote:</w:t>
      </w:r>
      <w:r xml:space="preserve">
        <w:t> </w:t>
      </w:r>
      <w:r xml:space="preserve">
        <w:t> </w:t>
      </w:r>
      <w:r>
        <w:t xml:space="preserve">Yeas 148,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277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