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requirement that online admission application forms for public institutions of higher education include a link to certain comparative gainful employment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51.762,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common admission application form adopted under this section must include a prominent link to comparative gainful employment data regarding institutions of higher education, including information described by Section 7.040, on a website maintained by the board using data compiled by the board in coordination with the Texas Workforce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51.763(b),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form </w:t>
      </w:r>
      <w:r>
        <w:rPr>
          <w:u w:val="single"/>
        </w:rPr>
        <w:t xml:space="preserve">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shall</w:t>
      </w:r>
      <w:r>
        <w:t xml:space="preserve">] allow each applicant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apply electronically to one or more of the general academic teaching institutions within the university system;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indicate preferences for admission between those institutions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 prominent link to comparative gainful employment data regarding institutions of higher education, including information described by Section 7.040, on a website maintained by the board using data compiled by the board in coordination with the Texas Workforce Commission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and the governing board of a university system shall comply with Section 51.762(b-1) or 51.763(b)(2), Education Code, as added by this Act, as applicable, as soon as practicable following the effective date of this Act but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