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86R24682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municipal ordinances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municipality wholly or partly located in a county that is located along the international border and has a population of 800,000 or more. The court may appoint as a receiver under Subsection (b) an individual without a demonstrated record of rehabilitating properties if the municipality demonstrates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individual with a demonstrated record of rehabilitating properties is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being appointed is competent and able to fulfill the duties of a receiver.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