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86R2789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 appointment of a receiver for a property that is in violation of certain municipal ordinances.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214.003,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(c), the court may appoint as a receiver for the property a nonprofit organization or an individual with a demonstrated record of rehabilitating properties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structures on the property are in violation of the standards set forth in Section 214.001(b) and an ordinance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notice of violation was given to the record owner of the property;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public hearing as required by Section 214.001(b) has been conducted.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appoint as a receiver under Subsection (b) an individual without a demonstrated record of rehabilitating properties if the municipality demonstrates that the individual is competent and able to fulfill the duties of a receiver.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