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86R20640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282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282:</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282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training of peace officers on cases involving child abuse and neglect, family violence, and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In establishing requirements under this section, the commission shall require courses and programs to provide training in: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recognition,</w:t>
      </w:r>
      <w:r>
        <w:t xml:space="preserve"> investigation</w:t>
      </w:r>
      <w:r>
        <w:rPr>
          <w:u w:val="single"/>
        </w:rPr>
        <w:t xml:space="preserve">,</w:t>
      </w:r>
      <w:r>
        <w:t xml:space="preserve"> and documentation of cases that involve[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child abuse </w:t>
      </w:r>
      <w:r>
        <w:rPr>
          <w:u w:val="single"/>
        </w:rPr>
        <w:t xml:space="preserve">and</w:t>
      </w:r>
      <w:r>
        <w:t xml:space="preserve"> [</w:t>
      </w:r>
      <w:r>
        <w:rPr>
          <w:strike/>
        </w:rPr>
        <w:t xml:space="preserve">or</w:t>
      </w:r>
      <w:r>
        <w:t xml:space="preserve">] neglect</w:t>
      </w:r>
      <w:r>
        <w:rPr>
          <w:u w:val="single"/>
        </w:rPr>
        <w:t xml:space="preserve">,</w:t>
      </w:r>
      <w:r>
        <w:t xml:space="preserve"> [</w:t>
      </w:r>
      <w:r>
        <w:rPr>
          <w:strike/>
        </w:rPr>
        <w:t xml:space="preserv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family violence</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sexual assault</w:t>
      </w:r>
      <w:r>
        <w:rPr>
          <w:u w:val="single"/>
        </w:rPr>
        <w:t xml:space="preserve">, including the use of best practices and trauma-informed response techniques to effectively recognize, investigate, and document those cases</w:t>
      </w:r>
      <w:r>
        <w:t xml:space="preserve">;</w:t>
      </w:r>
    </w:p>
    <w:p w:rsidR="003F3435" w:rsidRDefault="0032493E">
      <w:pPr>
        <w:spacing w:line="480" w:lineRule="auto"/>
        <w:ind w:firstLine="1440"/>
        <w:jc w:val="both"/>
      </w:pPr>
      <w:r>
        <w:t xml:space="preserve">(2)</w:t>
      </w:r>
      <w:r xml:space="preserve">
        <w:t> </w:t>
      </w:r>
      <w:r xml:space="preserve">
        <w:t> </w:t>
      </w:r>
      <w:r>
        <w:t xml:space="preserve">issues concerning sex offender characteristics; and</w:t>
      </w:r>
    </w:p>
    <w:p w:rsidR="003F3435" w:rsidRDefault="0032493E">
      <w:pPr>
        <w:spacing w:line="480" w:lineRule="auto"/>
        <w:ind w:firstLine="1440"/>
        <w:jc w:val="both"/>
      </w:pPr>
      <w:r>
        <w:t xml:space="preserve">(3)</w:t>
      </w:r>
      <w:r xml:space="preserve">
        <w:t> </w:t>
      </w:r>
      <w:r xml:space="preserve">
        <w:t> </w:t>
      </w:r>
      <w:r>
        <w:t xml:space="preserve">crime victims' rights under Chapter 56, Code of Criminal Procedure, and Chapter 57, Family Code, and the duty of law enforcement agencies to ensure that a victim is afforded those rights.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require a state, county, special district, or municipal agency that appoints or employs peace officers to provide each peace officer with a training program at least once every 48 months that is approved by the commission and consists of:</w:t>
      </w:r>
    </w:p>
    <w:p w:rsidR="003F3435" w:rsidRDefault="0032493E">
      <w:pPr>
        <w:spacing w:line="480" w:lineRule="auto"/>
        <w:ind w:firstLine="1440"/>
        <w:jc w:val="both"/>
      </w:pPr>
      <w:r>
        <w:t xml:space="preserve">(1)</w:t>
      </w:r>
      <w:r xml:space="preserve">
        <w:t> </w:t>
      </w:r>
      <w:r xml:space="preserve">
        <w:t> </w:t>
      </w:r>
      <w:r>
        <w:t xml:space="preserve">topics selected by the agency; and</w:t>
      </w:r>
    </w:p>
    <w:p w:rsidR="003F3435" w:rsidRDefault="0032493E">
      <w:pPr>
        <w:spacing w:line="480" w:lineRule="auto"/>
        <w:ind w:firstLine="1440"/>
        <w:jc w:val="both"/>
      </w:pPr>
      <w:r>
        <w:t xml:space="preserve">(2)</w:t>
      </w:r>
      <w:r xml:space="preserve">
        <w:t> </w:t>
      </w:r>
      <w:r xml:space="preserve">
        <w:t> </w:t>
      </w:r>
      <w:r>
        <w:t xml:space="preserve">for an officer holding only a basic proficiency certificate, not more than 20 hours of education and training that contain curricula incorporating the learning objectives developed by the commission regarding:</w:t>
      </w:r>
    </w:p>
    <w:p w:rsidR="003F3435" w:rsidRDefault="0032493E">
      <w:pPr>
        <w:spacing w:line="480" w:lineRule="auto"/>
        <w:ind w:firstLine="2160"/>
        <w:jc w:val="both"/>
      </w:pPr>
      <w:r>
        <w:t xml:space="preserve">(A)</w:t>
      </w:r>
      <w:r xml:space="preserve">
        <w:t> </w:t>
      </w:r>
      <w:r xml:space="preserve">
        <w:t> </w:t>
      </w:r>
      <w:r>
        <w:t xml:space="preserve">civil rights, racial sensitivity, and cultural diversity;</w:t>
      </w:r>
    </w:p>
    <w:p w:rsidR="003F3435" w:rsidRDefault="0032493E">
      <w:pPr>
        <w:spacing w:line="480" w:lineRule="auto"/>
        <w:ind w:firstLine="2160"/>
        <w:jc w:val="both"/>
      </w:pPr>
      <w:r>
        <w:t xml:space="preserve">(B)</w:t>
      </w:r>
      <w:r xml:space="preserve">
        <w:t> </w:t>
      </w:r>
      <w:r xml:space="preserve">
        <w:t> </w:t>
      </w:r>
      <w:r>
        <w:t xml:space="preserve">de-escalation and crisis intervention techniques to facilitate interaction with persons with mental impairments;</w:t>
      </w:r>
    </w:p>
    <w:p w:rsidR="003F3435" w:rsidRDefault="0032493E">
      <w:pPr>
        <w:spacing w:line="480" w:lineRule="auto"/>
        <w:ind w:firstLine="2160"/>
        <w:jc w:val="both"/>
      </w:pPr>
      <w:r>
        <w:t xml:space="preserve">(C)</w:t>
      </w:r>
      <w:r xml:space="preserve">
        <w:t> </w:t>
      </w:r>
      <w:r xml:space="preserve">
        <w:t> </w:t>
      </w:r>
      <w:r>
        <w:t xml:space="preserve">de-escalation techniques to facilitate interaction with members of the public, including techniques for limiting the use of force resulting in bodily injury; and</w:t>
      </w:r>
    </w:p>
    <w:p w:rsidR="003F3435" w:rsidRDefault="0032493E">
      <w:pPr>
        <w:spacing w:line="480" w:lineRule="auto"/>
        <w:ind w:firstLine="2160"/>
        <w:jc w:val="both"/>
      </w:pPr>
      <w:r>
        <w:t xml:space="preserve">(D)</w:t>
      </w:r>
      <w:r xml:space="preserve">
        <w:t> </w:t>
      </w:r>
      <w:r xml:space="preserve">
        <w:t> </w:t>
      </w:r>
      <w:r>
        <w:t xml:space="preserve">unless determined by the agency head to be inconsistent with the officer's assigned duties:</w:t>
      </w:r>
    </w:p>
    <w:p w:rsidR="003F3435" w:rsidRDefault="0032493E">
      <w:pPr>
        <w:spacing w:line="480" w:lineRule="auto"/>
        <w:ind w:firstLine="2880"/>
        <w:jc w:val="both"/>
      </w:pPr>
      <w:r>
        <w:t xml:space="preserve">(i)</w:t>
      </w:r>
      <w:r xml:space="preserve">
        <w:t> </w:t>
      </w:r>
      <w:r xml:space="preserve">
        <w:t> </w:t>
      </w:r>
      <w:r>
        <w:t xml:space="preserve">the recognition</w:t>
      </w:r>
      <w:r>
        <w:rPr>
          <w:u w:val="single"/>
        </w:rPr>
        <w:t xml:space="preserve">, investigation,</w:t>
      </w:r>
      <w:r>
        <w:t xml:space="preserve"> and documentation of cases that involve child abuse </w:t>
      </w:r>
      <w:r>
        <w:rPr>
          <w:u w:val="single"/>
        </w:rPr>
        <w:t xml:space="preserve">and</w:t>
      </w:r>
      <w:r>
        <w:t xml:space="preserve"> [</w:t>
      </w:r>
      <w:r>
        <w:rPr>
          <w:strike/>
        </w:rPr>
        <w:t xml:space="preserve">or</w:t>
      </w:r>
      <w:r>
        <w:t xml:space="preserve">] neglect, family violence, and sexual assault</w:t>
      </w:r>
      <w:r>
        <w:rPr>
          <w:u w:val="single"/>
        </w:rPr>
        <w:t xml:space="preserve">, including the use of best practices and trauma-informed response techniques to effectively recognize, investigate, and document those cases</w:t>
      </w:r>
      <w:r>
        <w:t xml:space="preserve">; and</w:t>
      </w:r>
    </w:p>
    <w:p w:rsidR="003F3435" w:rsidRDefault="0032493E">
      <w:pPr>
        <w:spacing w:line="480" w:lineRule="auto"/>
        <w:ind w:firstLine="2880"/>
        <w:jc w:val="both"/>
      </w:pPr>
      <w:r>
        <w:t xml:space="preserve">(ii)</w:t>
      </w:r>
      <w:r xml:space="preserve">
        <w:t> </w:t>
      </w:r>
      <w:r xml:space="preserve">
        <w:t> </w:t>
      </w:r>
      <w:r>
        <w:t xml:space="preserve">issues concerning sex offender characteristics.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1701, Occupations Code, is amended by adding Section 1701.4045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1701.4045.</w:t>
      </w:r>
      <w:r>
        <w:rPr>
          <w:u w:val="single"/>
        </w:rPr>
        <w:t xml:space="preserve"> </w:t>
      </w:r>
      <w:r>
        <w:rPr>
          <w:u w:val="single"/>
        </w:rPr>
        <w:t xml:space="preserve"> </w:t>
      </w:r>
      <w:r>
        <w:rPr>
          <w:u w:val="single"/>
        </w:rPr>
        <w:t xml:space="preserve">CERTIFICATION OF OFFICERS FOR CHILD ABUSE AND NEGLECT, FAMILY VIOLENCE, AND SEXUAL ASSAULT ASSIGNMENTS.  (a)  The commission by rule shall establish minimum requirements for the training, testing, and certification of special officers for responding to allegations of child abuse and neglect, family violence, and sexual assault.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certify a peace officer as a special officer for responding to allegations of child abuse and neglect, family violence, and sexual assault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an advanced training course administered by the commission on recognizing, investigating, and documenting cases involving child abuse and neglect, family violence, and sexual assault using best practices and trauma-informed response techniques;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an examination administered by the commission that is designed to test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knowledge and recognition of the signs of child abuse and neglect, family violence, and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skill at investigating and documenting child abuse and neglect, family violence, and sexual assault using best practices and trauma-informed response techniques.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a professional achievement or proficiency certificate to a peace officer who meets the requirements of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Texas Commission on Law Enforcement shall establish the comprehensive education and training program required by Section 1701.253(b), Occupations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Texas Commission on Law Enforcement shall adopt rules necessary to implement Section 1701.4045, Occupations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