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86R3394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282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education and training for peace officers regarding trauma-informed interviewing of victims of sexual assault or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 Occupations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As part of the minimum curriculum requirements, the commission shall establish and require an officer to complete a statewide comprehensive education and training program on trauma-informed interviewing of victims of sexual assault or other sex offenses. An officer shall complete the program not later than the second anniversary of the date the officer is licensed under this chapter or the date the officer applies for an intermediate proficiency certificate, whichever date is earlier.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Texas Commission on Law Enforcement shall establish the comprehensive education and training program required by Section 1701.253(p),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