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regarding flood coverage under a commercial or residential property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2002, Insurance Code, is amended by adding Section 2002.103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2002.103.</w:t>
      </w:r>
      <w:r>
        <w:rPr>
          <w:u w:val="single"/>
        </w:rPr>
        <w:t xml:space="preserve"> </w:t>
      </w:r>
      <w:r>
        <w:rPr>
          <w:u w:val="single"/>
        </w:rPr>
        <w:t xml:space="preserve"> </w:t>
      </w:r>
      <w:r>
        <w:rPr>
          <w:u w:val="single"/>
        </w:rPr>
        <w:t xml:space="preserve">DISCLOSURE REGARDING FLOOD COVERAGE REQUIRED.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property insurance" means insurance coverage against damage to or loss of real or tangible personal property at a fixed location that is provided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commercial fire or allied lines insurance policy;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authorized by commissioner rule, a commercial property insurance policy covering other perils or providing other coverages or other lines of first party property insurance.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property insurance" means insurance coverage against damage to or loss of residential real or tangible personal property at a fixed location that is provided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homeowners insurance policy, including a tenants insurance policy;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condominium owners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residential fire and allied lines insurance policy;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farm and ranch insurance policy;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farm and ranch owners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each insurer authorized to engage in the business of commercial or residential property insurance in this state, including a county mutual insurance company, farm mutual insurance company, Lloyd's plan, and reciprocal or interinsurance exchange.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that issues a commercial or residential property insurance policy that does not provide coverage against loss caused by flooding shall include at the top of the policy's declarations page the following statement:  "WARNING:  THIS POLICY DOES NOT PROVIDE COVERAGE AGAINST LOSS CAUSED BY FLOODING."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2002.103,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