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86R16032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Perez</w:t>
      </w:r>
      <w:r xml:space="preserve">
        <w:tab wTab="150" tlc="none" cTlc="0"/>
      </w:r>
      <w:r>
        <w:t xml:space="preserve">H.B.</w:t>
      </w:r>
      <w:r xml:space="preserve">
        <w:t> </w:t>
      </w:r>
      <w:r>
        <w:t xml:space="preserve">No.</w:t>
      </w:r>
      <w:r xml:space="preserve">
        <w:t> </w:t>
      </w:r>
      <w:r>
        <w:t xml:space="preserve">284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284:</w:t>
      </w:r>
    </w:p>
    <w:p w:rsidR="003F3435" w:rsidRDefault="0032493E">
      <w:pPr>
        <w:spacing w:line="480" w:lineRule="auto"/>
        <w:jc w:val="both"/>
        <w:tabs>
          <w:tab w:val="right" w:leader="none" w:pos="9350"/>
        </w:tabs>
      </w:pPr>
      <w:r>
        <w:t xml:space="preserve">By:</w:t>
      </w:r>
      <w:r xml:space="preserve">
        <w:t> </w:t>
      </w:r>
      <w:r xml:space="preserve">
        <w:t> </w:t>
      </w:r>
      <w:r>
        <w:t xml:space="preserve">Deshotel</w:t>
      </w:r>
      <w:r xml:space="preserve">
        <w:tab wTab="150" tlc="none" cTlc="0"/>
      </w:r>
      <w:r>
        <w:t xml:space="preserve">C.S.H.B.</w:t>
      </w:r>
      <w:r xml:space="preserve">
        <w:t> </w:t>
      </w:r>
      <w:r>
        <w:t xml:space="preserve">No.</w:t>
      </w:r>
      <w:r xml:space="preserve">
        <w:t> </w:t>
      </w:r>
      <w:r>
        <w:t xml:space="preserve">284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disclosure requirements of certain facilities that provide care for persons with Alzheimer's disease and related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242, Health and Safety Code, is amended by adding Section 242.0405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242.0405.</w:t>
      </w:r>
      <w:r>
        <w:rPr>
          <w:u w:val="single"/>
        </w:rPr>
        <w:t xml:space="preserve"> </w:t>
      </w:r>
      <w:r>
        <w:rPr>
          <w:u w:val="single"/>
        </w:rPr>
        <w:t xml:space="preserve"> </w:t>
      </w:r>
      <w:r>
        <w:rPr>
          <w:u w:val="single"/>
        </w:rPr>
        <w:t xml:space="preserve">NOTICE OF ALZHEIMER'S DISEASE AND RELATED DISORDERS CERTIFICATION.  (a)  A nursing facility shall prepare a written notice disclosing whether the facility is certified or is not certified under Section 242.040 for the provision of specialized care and treatment of residents with Alzheimer's disease and related disorders.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nursing facility shall provide the notice described by Subsection (a)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resident of the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person applying for services from the facility or the person's next of kin or guardian.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242.202(d),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disclosure statement must contain the following categories of information:</w:t>
      </w:r>
    </w:p>
    <w:p w:rsidR="003F3435" w:rsidRDefault="0032493E">
      <w:pPr>
        <w:spacing w:line="480" w:lineRule="auto"/>
        <w:ind w:firstLine="1440"/>
        <w:jc w:val="both"/>
      </w:pPr>
      <w:r>
        <w:t xml:space="preserve">(1)</w:t>
      </w:r>
      <w:r xml:space="preserve">
        <w:t> </w:t>
      </w:r>
      <w:r xml:space="preserve">
        <w:t> </w:t>
      </w:r>
      <w:r>
        <w:t xml:space="preserve">the institution's philosophy of care;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whether the institution is certified under Section 242.040 for the provision of specialized care and treatment of residents with Alzheimer's disease and related disorders;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preadmission, admission, and discharge process;</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resident assessment, care planning, and implementation of the care plan;</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staffing patterns, such as resident-to-staff ratios, and staff training;</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the physical environment of the institution;</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resident activities;</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program costs;</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systems for evaluation of the institution's programs for residents;</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family involvement in resident care; and</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the toll-free telephone number maintained by the department for acceptance of complaints against the institution.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247, Health and Safety Code, is amended by adding Section 247.0295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247.0295.</w:t>
      </w:r>
      <w:r>
        <w:rPr>
          <w:u w:val="single"/>
        </w:rPr>
        <w:t xml:space="preserve"> </w:t>
      </w:r>
      <w:r>
        <w:rPr>
          <w:u w:val="single"/>
        </w:rPr>
        <w:t xml:space="preserve"> </w:t>
      </w:r>
      <w:r>
        <w:rPr>
          <w:u w:val="single"/>
        </w:rPr>
        <w:t xml:space="preserve">NOTICE OF ALZHEIMER'S DISEASE OR RELATED DISORDERS LICENSE CLASSIFICATION.  An assisted living facility shall provide to each resident of the facility written notice disclosing whether the facility holds a license or does not hold a license classified under Section 247.029 for the provision of personal care services to residents with Alzheimer's disease or related disorders.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247.026(c-1), Health and Safety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adopt rules to implement the changes in law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