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86R16644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285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285:</w:t>
      </w: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C.S.H.B.</w:t>
      </w:r>
      <w:r xml:space="preserve">
        <w:t> </w:t>
      </w:r>
      <w:r>
        <w:t xml:space="preserve">No.</w:t>
      </w:r>
      <w:r xml:space="preserve">
        <w:t> </w:t>
      </w:r>
      <w:r>
        <w:t xml:space="preserve">285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work requirements and employment and training services for certain persons receiving benefits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Sections 33.016 and 33.017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33.016.</w:t>
      </w:r>
      <w:r>
        <w:rPr>
          <w:u w:val="single"/>
        </w:rPr>
        <w:t xml:space="preserve"> </w:t>
      </w:r>
      <w:r>
        <w:rPr>
          <w:u w:val="single"/>
        </w:rPr>
        <w:t xml:space="preserve"> </w:t>
      </w:r>
      <w:r>
        <w:rPr>
          <w:u w:val="single"/>
        </w:rPr>
        <w:t xml:space="preserve">CERTAIN EXEMPTIONS FROM SNAP WORK REQUIREMENTS PROHIBITED. </w:t>
      </w:r>
      <w:r>
        <w:rPr>
          <w:u w:val="single"/>
        </w:rPr>
        <w:t xml:space="preserve"> </w:t>
      </w:r>
      <w:r>
        <w:rPr>
          <w:u w:val="single"/>
        </w:rPr>
        <w:t xml:space="preserve">The commission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a waiver of the applicability of work requirements as authorized under 7 U.S.C. Section 2015(o)(4);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exemption from work requirements as authorized under 7 U.S.C. Section 2015(o)(6).</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33.017.</w:t>
      </w:r>
      <w:r>
        <w:rPr>
          <w:u w:val="single"/>
        </w:rPr>
        <w:t xml:space="preserve"> </w:t>
      </w:r>
      <w:r>
        <w:rPr>
          <w:u w:val="single"/>
        </w:rPr>
        <w:t xml:space="preserve"> </w:t>
      </w:r>
      <w:r>
        <w:rPr>
          <w:u w:val="single"/>
        </w:rPr>
        <w:t xml:space="preserve">EMPLOYMENT AND TRAINING SERVICES FOR CERTAIN SNAP RECIPIENTS.  The commission, in conjunction with the Texas Workforce Commission, shall ensure that a person who is at least 18 years of age but younger than 50 years of age, who has no dependents, and who does not have a disability receives supplemental nutrition assistance program employment and training services unless the person is eligible for an individual waiver under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initial determination or recertification of eligibility for the supplemental nutrition assistance program under Chapter 33, Human Resources Code, that is made on or after the effective date of this Act.  A determination or recertification made before the effective date of this Act is governed by the law in effect on the date the determination or recertification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