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86R405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H.B.</w:t>
      </w:r>
      <w:r xml:space="preserve">
        <w:t> </w:t>
      </w:r>
      <w:r>
        <w:t xml:space="preserve">No.</w:t>
      </w:r>
      <w:r xml:space="preserve">
        <w:t> </w:t>
      </w:r>
      <w:r>
        <w:t xml:space="preserve">285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work requirements and employment and training services for certain persons receiving benefits under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Sections 33.016 and 33.017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33.016.</w:t>
      </w:r>
      <w:r>
        <w:rPr>
          <w:u w:val="single"/>
        </w:rPr>
        <w:t xml:space="preserve"> </w:t>
      </w:r>
      <w:r>
        <w:rPr>
          <w:u w:val="single"/>
        </w:rPr>
        <w:t xml:space="preserve"> </w:t>
      </w:r>
      <w:r>
        <w:rPr>
          <w:u w:val="single"/>
        </w:rPr>
        <w:t xml:space="preserve">CERTAIN EXEMPTIONS FROM SNAP WORK REQUIREMENTS PROHIBITED. </w:t>
      </w:r>
      <w:r>
        <w:rPr>
          <w:u w:val="single"/>
        </w:rPr>
        <w:t xml:space="preserve"> </w:t>
      </w:r>
      <w:r>
        <w:rPr>
          <w:u w:val="single"/>
        </w:rPr>
        <w:t xml:space="preserve">The commission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a waiver of the applicability of work requirements as authorized under 7 U.S.C. Section 2015(o)(4);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exemption from work requirements as authorized under 7 U.S.C. Section 2015(o)(6).</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33.017.</w:t>
      </w:r>
      <w:r>
        <w:rPr>
          <w:u w:val="single"/>
        </w:rPr>
        <w:t xml:space="preserve"> </w:t>
      </w:r>
      <w:r>
        <w:rPr>
          <w:u w:val="single"/>
        </w:rPr>
        <w:t xml:space="preserve"> </w:t>
      </w:r>
      <w:r>
        <w:rPr>
          <w:u w:val="single"/>
        </w:rPr>
        <w:t xml:space="preserve">EMPLOYMENT AND TRAINING SERVICES FOR CERTAIN SNAP RECIPIENTS.  (a)  This section applies to a person who is subject to the work requirements under 7 U.S.C. Section 2015(d)(1). This section does not apply to a person who is subject to the work requirements under 7 U.S.C. Section 2015(o)(2).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conjunction with the Texas Workforce Commission, shall ensure that a person to whom this section applies receives supplemental nutrition assistance program employment and training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initial determination or recertification of eligibility for the supplemental nutrition assistance program under Chapter 33, Human Resources Code, that is made on or after the effective date of this Act.  A determination or recertification made before the effective date of this Act is governed by the law in effect on the date the determination or recertification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