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unlawful employment practices regarding discrimination in payment of compensation.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21.202(a), Labor Code, is amended to read as follows:</w:t>
      </w:r>
    </w:p>
    <w:p w:rsidR="003F3435" w:rsidRDefault="0032493E">
      <w:pPr>
        <w:spacing w:line="480" w:lineRule="auto"/>
        <w:ind w:firstLine="720"/>
        <w:jc w:val="both"/>
      </w:pPr>
      <w:r>
        <w:t xml:space="preserve">(a)</w:t>
      </w:r>
      <w:r xml:space="preserve">
        <w:t> </w:t>
      </w:r>
      <w:r xml:space="preserve">
        <w:t> </w:t>
      </w:r>
      <w:r>
        <w:t xml:space="preserve">A complaint under this subchapter must be filed not later than the 180th day after the date the alleged unlawful employment practice occurred.  </w:t>
      </w:r>
      <w:r>
        <w:rPr>
          <w:u w:val="single"/>
        </w:rPr>
        <w:t xml:space="preserve">With respect to an allegation of discrimination in payment of compensation in violation of this chapter, an unlawful employment practice occurs each time: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discriminatory compensation decision or other practice is adopted;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becomes subject to a discriminatory compensation decision or other practice;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individual is adversely affected by application of a discriminatory compensation decision or other practice, including each time wages affected wholly or partly by the decision or other practice are paid.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21.258, Labor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Liability may accrue, and an aggrieved person may obtain relief as provided by this subchapter, including recovery of back pay for the period allowed under this section, if the unlawful employment practices that have occurred during the period for filing a complaint are similar or related to unlawful employment practices with regard to discrimination in payment of compensation that occurred outside the period for filing a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discriminatory compensation decision or another unlawful employment practice with regard to discrimination in payment of compensation that occurs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