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86R2717 LHC-D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Harris</w:t>
      </w:r>
      <w:r xml:space="preserve">
        <w:tab wTab="150" tlc="none" cTlc="0"/>
      </w:r>
      <w:r>
        <w:t xml:space="preserve">H.B.</w:t>
      </w:r>
      <w:r xml:space="preserve">
        <w:t> </w:t>
      </w:r>
      <w:r>
        <w:t xml:space="preserve">No.</w:t>
      </w:r>
      <w:r xml:space="preserve">
        <w:t> </w:t>
      </w:r>
      <w:r>
        <w:t xml:space="preserve">289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criminal penalty for possession of certain small amounts of controlled substances in Penalty Group 1.</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481.115(b),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An offense under Subsection (a) is a state jail felony if the amount of the controlled substance possessed is, by aggregate weight, including adulterants or dilutants, </w:t>
      </w:r>
      <w:r>
        <w:rPr>
          <w:u w:val="single"/>
        </w:rPr>
        <w:t xml:space="preserve">a usable quantity that is more than 0.02 grams but</w:t>
      </w:r>
      <w:r>
        <w:t xml:space="preserve"> less than one gram.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was committed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289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