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291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political subdivision to issue a building construction permit or final certificate of occupancy for a building or facility required to meet certain accessibility standards;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469, Government Code, is amended by adding Section 469.0585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469.0585.</w:t>
      </w:r>
      <w:r>
        <w:rPr>
          <w:u w:val="single"/>
        </w:rPr>
        <w:t xml:space="preserve"> </w:t>
      </w:r>
      <w:r>
        <w:rPr>
          <w:u w:val="single"/>
        </w:rPr>
        <w:t xml:space="preserve"> </w:t>
      </w:r>
      <w:r>
        <w:rPr>
          <w:u w:val="single"/>
        </w:rPr>
        <w:t xml:space="preserve">BUILDING CONSTRUCTION PERMITS AND FINAL CERTIFICATES OF OCCUPANCY; ADMINISTRATIVE PENALTY. (a) The commission shall impose an administrative penalty under Subchapter F, Chapter 51, Occupations Code, on a political subdivision that issues a building construction permit or a final certificate of occupancy in violation of Section 469.102 or 469.105.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51.302, Occupations Code, the total amount of an administrative penalty under this section is the amount calculated by multiplying the population of the political subdivision by one cent.</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administrative penalty collected under this section may be appropriated only to the trusteed programs within the office of the governor for the purpose of informing organizations and the general public of disability issues.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469.102(d),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public official of a political subdivision who is legally authorized to issue building construction permits may not accept an application for a building construction permit for a building or facility subject to Section 469.101 unless the </w:t>
      </w:r>
      <w:r>
        <w:rPr>
          <w:u w:val="single"/>
        </w:rPr>
        <w:t xml:space="preserve">applicant submits verification to the official that: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official verifies that</w:t>
      </w:r>
      <w:r>
        <w:t xml:space="preserve">] the building or facility has been registered with the department as provided by rule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and specifications for the building or facility have been submitted to the department as required by Subsection (c)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469.105,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may not issue a final certificate of occupancy to the owner of a building or facility described by Section 469.101 unless the owner provides to the political subdivision a report or letter from a person or entity described by Subsection (b) indicating that the building or facility has been inspected by the person or entity and is in compliance with the requirements of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building or facility for which an application for a building construction permit is submitted to a political subdivision on or after the effective date of this Act. A building or facility for which an application for a building construction permit is submitted to a political subdivision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