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Landgraf, Calanni,</w:t>
      </w:r>
      <w:r xml:space="preserve">
        <w:tab wTab="150" tlc="none" cTlc="0"/>
      </w:r>
      <w:r>
        <w:t xml:space="preserve">H.B.</w:t>
      </w:r>
      <w:r xml:space="preserve">
        <w:t> </w:t>
      </w:r>
      <w:r>
        <w:t xml:space="preserve">No.</w:t>
      </w:r>
      <w:r xml:space="preserve">
        <w:t> </w:t>
      </w:r>
      <w:r>
        <w:t xml:space="preserve">292</w:t>
      </w:r>
    </w:p>
    <w:p w:rsidR="003F3435" w:rsidRDefault="0032493E">
      <w:pPr>
        <w:jc w:val="both"/>
      </w:pPr>
      <w:r xml:space="preserve">
        <w:t> </w:t>
      </w:r>
      <w:r xml:space="preserve">
        <w:t> </w:t>
      </w:r>
      <w:r xml:space="preserve">
        <w:t> </w:t>
      </w:r>
      <w:r xml:space="preserve">
        <w:t> </w:t>
      </w:r>
      <w:r xml:space="preserve">
        <w:t> </w:t>
      </w:r>
      <w:r>
        <w:t xml:space="preserve">J. Johnson of Dallas,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instruction on the trafficking of persons in the basic training curriculum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basic education and training program on the trafficking of persons developed under Section 1701.258(a).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an officer [</w:t>
      </w:r>
      <w:r>
        <w:rPr>
          <w:strike/>
        </w:rPr>
        <w:t xml:space="preserve">first licensed by the commission on or after January 1, 2011,</w:t>
      </w:r>
      <w:r>
        <w:t xml:space="preserve">] to complete [</w:t>
      </w:r>
      <w:r>
        <w:rPr>
          <w:strike/>
        </w:rPr>
        <w:t xml:space="preserve">within a reasonable time after obtaining the license</w:t>
      </w:r>
      <w:r>
        <w:t xml:space="preserve">] a one-time basic education and training program on the trafficking of persons.  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20A.02 and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Commission on Law Enforcement shall adopt the rules necessary to implement Section 1701.253(p), Occupations Code, as added by this Act, and Section 1701.258(a),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