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et al.</w:t>
      </w:r>
      <w:r xml:space="preserve">
        <w:tab wTab="150" tlc="none" cTlc="0"/>
      </w:r>
      <w:r>
        <w:t xml:space="preserve">H.B.</w:t>
      </w:r>
      <w:r xml:space="preserve">
        <w:t> </w:t>
      </w:r>
      <w:r>
        <w:t xml:space="preserve">No.</w:t>
      </w:r>
      <w:r xml:space="preserve">
        <w:t> </w:t>
      </w:r>
      <w:r>
        <w:t xml:space="preserve">293</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Seliger)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2019; April</w:t>
      </w:r>
      <w:r xml:space="preserve">
        <w:t> </w:t>
      </w:r>
      <w:r>
        <w:t xml:space="preserve">24,</w:t>
      </w:r>
      <w:r xml:space="preserve">
        <w:t> </w:t>
      </w:r>
      <w:r>
        <w:t xml:space="preserve">2019, read first time and referred to Committee on Intergovernmental Relations;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293</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investment training requirements for school district financial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2256.008, Government Code, is amended by amending Subsection (a-1) and adding Subsection (g) to read as follows:</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Subsection (g)</w:t>
      </w:r>
      <w:r>
        <w:t xml:space="preserve"> [</w:t>
      </w:r>
      <w:r>
        <w:rPr>
          <w:strike/>
        </w:rPr>
        <w:t xml:space="preserve">In addition to the requirements of Subsection (a)(1)</w:t>
      </w:r>
      <w:r>
        <w:t xml:space="preserve">], the treasurer, or the chief financial officer if the treasurer is not the chief financial officer, and the investment officer of a school district or a municipality</w:t>
      </w:r>
      <w:r>
        <w:rPr>
          <w:u w:val="single"/>
        </w:rPr>
        <w:t xml:space="preserve">, in addition to the requirements of Subsection (a)(1),</w:t>
      </w:r>
      <w:r>
        <w:t xml:space="preserve"> shall attend an investment training session not less than once in a two-year period that begins on the first day of the school district's or municipality's fiscal year and consists of the two consecutive fiscal years after that date, and receive not less than eight hours of instruction relating to investment responsibilities under this subchapter from an independent source approved by the governing body of the school district or municipality, or by a designated investment committee advising the investment officer as provided for in the investment policy of the school district or municipality.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(a-1) does not apply to the treasurer, chief financial officer, or investment officer of a school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does not invest district funds;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deposits those funds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interest-bearing deposit accounts;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certificates of deposit as authorized by Section 2256.010;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treasurer, chief financial officer, or investment officer annually submits to the agency a sworn affidavit identifying the applicable criteria under Subdivision (1) that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