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86R23147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Lang</w:t>
      </w:r>
      <w:r xml:space="preserve">
        <w:tab wTab="150" tlc="none" cTlc="0"/>
      </w:r>
      <w:r>
        <w:t xml:space="preserve">H.B.</w:t>
      </w:r>
      <w:r xml:space="preserve">
        <w:t> </w:t>
      </w:r>
      <w:r>
        <w:t xml:space="preserve">No.</w:t>
      </w:r>
      <w:r xml:space="preserve">
        <w:t> </w:t>
      </w:r>
      <w:r>
        <w:t xml:space="preserve">300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300:</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inquest summary reports and the preservation of evidence collected in the course of an inquest.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49.17, Code of Criminal Procedure, is amended to read as follows:</w:t>
      </w:r>
    </w:p>
    <w:p w:rsidR="003F3435" w:rsidRDefault="0032493E">
      <w:pPr>
        <w:spacing w:line="480" w:lineRule="auto"/>
        <w:ind w:firstLine="720"/>
        <w:jc w:val="both"/>
      </w:pPr>
      <w:r>
        <w:t xml:space="preserve">Art.</w:t>
      </w:r>
      <w:r xml:space="preserve">
        <w:t> </w:t>
      </w:r>
      <w:r>
        <w:t xml:space="preserve">49.17.</w:t>
      </w:r>
      <w:r xml:space="preserve">
        <w:t> </w:t>
      </w:r>
      <w:r xml:space="preserve">
        <w:t> </w:t>
      </w:r>
      <w:r>
        <w:t xml:space="preserve">EVIDENCE.  A justice of the peace shall preserve all tangible evidence that the justice accumulates in the course of an inquest that tends to show the real cause of death or identify the person who caused the death. The justice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deposit the evidence with the appropriate law enforcement agency to be stored in the agency's property room for safekeeping[</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deliver the evidence to the district clerk for safekeeping subject to the order of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49.15(d),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certified copy of an inquest summary report received and maintained by a district court clerk under Article 49.15(d), Code of Criminal Procedure, as it existed immediately before the effective date of this Act, may be destroyed by the clerk in accordance with the district court's records retention schedule.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each district clerk in possession of evidence delivered to the clerk for safekeeping under Article 49.17, Code of Criminal Procedure, as that article existed immediately before the effective date of this Act, shall transfer the evidence to the appropriate law enforcement agency for safekeeping as provided by Article 49.17, Code of Criminal Procedure,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