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86R1568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a state agency or political subdivision with authority to impose a tax post certain information on an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2051, Government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INTERNET WEBSITE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2051.151.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This subchapter applies only to a state agency or political subdivision with the authority to impose a tax.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2051.152.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REQUIRED ON WEBSITE.  (a)  A state agency or political subdivision shall create and maintain a publicly accessible Internet website with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agency's or political subdivision's contact information, including a mailing address, telephone number, and e-mail address;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elected officer of the state agency or political subdivision;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candidate for an elected office of the state agency or political subdivision;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and location of the next election for officers of the state agency or political subdivision;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notice of a meeting under Subchapter C, Chapter 551;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record of a meeting under Subchapter B, Chapter 551.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or political subdivision that on September 1, 2019, maintained an official, publicly accessible Internet website may provide the information described under Subsection (a) on that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2051.152(a)(5) and (6), Government Code, as added by this Act, apply only to a meeting held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