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March</w:t>
      </w:r>
      <w:r xml:space="preserve">
        <w:t> </w:t>
      </w:r>
      <w:r>
        <w:t xml:space="preserve">25,</w:t>
      </w:r>
      <w:r xml:space="preserve">
        <w:t> </w:t>
      </w:r>
      <w:r>
        <w:t xml:space="preserve">2019; March</w:t>
      </w:r>
      <w:r xml:space="preserve">
        <w:t> </w:t>
      </w:r>
      <w:r>
        <w:t xml:space="preserve">27,</w:t>
      </w:r>
      <w:r xml:space="preserve">
        <w:t> </w:t>
      </w:r>
      <w:r>
        <w:t xml:space="preserve">2019, read first time and referred to Committee on Business &amp; Commerce; May</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305</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requirement that certain political subdivisions with authority to impose a tax post certain information on an Internet website.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2051, Government Code, is amended by adding Subchapter E to read as follows:</w:t>
      </w:r>
    </w:p>
    <w:p w:rsidR="003F3435" w:rsidRDefault="0032493E">
      <w:pPr>
        <w:spacing w:line="480" w:lineRule="auto"/>
        <w:jc w:val="center"/>
      </w:pPr>
      <w:r>
        <w:rPr>
          <w:u w:val="single"/>
        </w:rPr>
        <w:t xml:space="preserve">SUBCHAPTER E.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2051.151.</w:t>
      </w:r>
      <w:r>
        <w:rPr>
          <w:u w:val="single"/>
        </w:rPr>
        <w:t xml:space="preserve"> </w:t>
      </w:r>
      <w:r>
        <w:rPr>
          <w:u w:val="single"/>
        </w:rPr>
        <w:t xml:space="preserve"> </w:t>
      </w:r>
      <w:r>
        <w:rPr>
          <w:u w:val="single"/>
        </w:rPr>
        <w:t xml:space="preserve">APPLICABILITY OF SUBCHAPTER. Except as provided by Section 2051.152(b), this subchapter applies only to a political subdivision with the authority to impose a tax that at any time on or after January 1, 2019, maintained a publicly accessible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2051.152.</w:t>
      </w:r>
      <w:r>
        <w:rPr>
          <w:u w:val="single"/>
        </w:rPr>
        <w:t xml:space="preserve"> </w:t>
      </w:r>
      <w:r>
        <w:rPr>
          <w:u w:val="single"/>
        </w:rPr>
        <w:t xml:space="preserve"> </w:t>
      </w:r>
      <w:r>
        <w:rPr>
          <w:u w:val="single"/>
        </w:rPr>
        <w:t xml:space="preserve">INFORMATION REQUIRED ON WEBSITE.  (a)  A political subdivision to which this section applies shall post on a publicly accessible Internet website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subdivision's contact information, including a mailing address, telephone number, and e-mail address;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elected officer of the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and location of the next election for officers of the political subdivision;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and deadline for filing for candidacy of each elected office of the political subdivision, which shall be continuously posted for at least one year before the election day for the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notice of a meeting of the political subdivision's governing body under Subchapter C, Chapter 551;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each record of a meeting of the political subdivision's governing body under Section 551.021.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Subsections (a)(5) and (6) do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with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with a population of less than 5,000 located in a county with a population of less than 25,000;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with a population of less than 5,000 in the district's boundaries and located in a county with a population of less than 25,000.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2051.152(a)(5) and (6), Government Code, as added by this Act, apply only to a meeting held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