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86R3043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Flynn, Miller, Hefner, Krause,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Capriglione,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the Ten Commandments in public school classrooms.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11, Education Code, is amended by adding Section 11.172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11.172.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TEN COMMANDMENTS. The board of trustees of an independent school district may not prohibit the posting of a copy of the Ten Commandments in a prominent location in a district classroom.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